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2E5FA3" w:sz="6" w:space="4"/>
        </w:pBdr>
        <w:spacing w:before="0" w:after="120"/>
      </w:pPr>
      <w:r>
        <w:rPr>
          <w:rFonts w:ascii="Arial" w:cs="Arial" w:eastAsia="Arial" w:hAnsi="Arial"/>
          <w:b/>
          <w:bCs/>
          <w:color w:val="1B3A6B"/>
          <w:sz w:val="22"/>
          <w:szCs w:val="22"/>
        </w:rPr>
        <w:t xml:space="preserve">SOP-QA-SUIVI-001 — Surveillance KPI CAPA &amp; APR/PQR</w:t>
      </w:r>
      <w:r>
        <w:rPr>
          <w:rFonts w:ascii="Arial" w:cs="Arial" w:eastAsia="Arial" w:hAnsi="Arial"/>
          <w:i/>
          <w:iCs/>
          <w:color w:val="4A4A4A"/>
          <w:sz w:val="16"/>
          <w:szCs w:val="16"/>
        </w:rPr>
        <w:t xml:space="preserve">   Version 1.0  |  Approuvé  |  ICH Q10 / 21 CFR Part 211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2760"/>
        <w:gridCol w:w="1600"/>
        <w:gridCol w:w="3400"/>
      </w:tblGrid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Référence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SOP-QA-SUIVI-001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Version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1.0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Titre</w:t>
            </w:r>
          </w:p>
        </w:tc>
        <w:tc>
          <w:tcPr>
            <w:tcW w:type="dxa" w:w="7760"/>
            <w:gridSpan w:val="3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A1A2E"/>
                <w:sz w:val="20"/>
                <w:szCs w:val="20"/>
              </w:rPr>
              <w:t xml:space="preserve">Surveillance des KPI CAPA, Dashboard Power BI et APR/PQR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Domaine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Assurance Qualité — Contrôle Qualité — Direction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Date applicable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___/___/20____</w:t>
            </w:r>
          </w:p>
        </w:tc>
      </w:tr>
      <w:tr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Auteur</w:t>
            </w:r>
          </w:p>
        </w:tc>
        <w:tc>
          <w:tcPr>
            <w:tcW w:type="dxa" w:w="27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Rachid BERKANI — Expert Qualité &amp; Statistiques</w:t>
            </w: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Approbation QA</w:t>
            </w:r>
          </w:p>
        </w:tc>
        <w:tc>
          <w:tcPr>
            <w:tcW w:type="dxa" w:w="3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Signature : _______________   Date : ______</w:t>
            </w:r>
          </w:p>
        </w:tc>
      </w:tr>
    </w:tbl>
    <w:p>
      <w:pPr>
        <w:spacing w:before="12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B3A6B" w:sz="6"/>
              <w:left w:val="single" w:color="1B3A6B" w:sz="6"/>
              <w:bottom w:val="single" w:color="1B3A6B" w:sz="6"/>
              <w:right w:val="single" w:color="1B3A6B" w:sz="6"/>
            </w:tcBorders>
            <w:shd w:fill="1B3A6B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1 — OBJECTIF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5FA3" w:sz="6"/>
              <w:left w:val="single" w:color="2E5FA3" w:sz="6"/>
              <w:bottom w:val="single" w:color="2E5FA3" w:sz="6"/>
              <w:right w:val="single" w:color="2E5FA3" w:sz="6"/>
            </w:tcBorders>
            <w:shd w:fill="D6E4F0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9"/>
                <w:szCs w:val="19"/>
              </w:rPr>
              <w:t xml:space="preserve">Cette SOP définit les responsabilités, fréquences et méthodes de surveillance des KPI du système CAPA, du tableau de bord Power BI, et de la conduite annuelle de l'APR/PQR. Elle s'applique à tous les produits commercialisés et toutes les CAPA formelles ouvertes dans le QMS.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5FA3" w:sz="6"/>
              <w:left w:val="single" w:color="2E5FA3" w:sz="6"/>
              <w:bottom w:val="single" w:color="2E5FA3" w:sz="6"/>
              <w:right w:val="single" w:color="2E5FA3" w:sz="6"/>
            </w:tcBorders>
            <w:shd w:fill="2E5FA3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2 — RESPONSABILITÉS ET FRÉQUENCES DE REVUE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200"/>
        <w:gridCol w:w="3100"/>
        <w:gridCol w:w="206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Niveau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Acteur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KPI / Activité surveillée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2E5FA3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Fréquence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Opérationnel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Superviseur CQ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4A4A4A"/>
                <w:sz w:val="17"/>
                <w:szCs w:val="17"/>
              </w:rPr>
              <w:t xml:space="preserve">Délais investigation · Statuts CAPA · Alertes immédiates · Retards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Hebdomadaire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Tactique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Responsable QA/QC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4A4A4A"/>
                <w:sz w:val="17"/>
                <w:szCs w:val="17"/>
              </w:rPr>
              <w:t xml:space="preserve">Taux OOS · Taux récurrence · Ppk moyen · % Effectiveness Check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2E5FA3"/>
                <w:sz w:val="18"/>
                <w:szCs w:val="18"/>
              </w:rPr>
              <w:t xml:space="preserve">Mensuelle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Stratégique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Direction Qualité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4A4A4A"/>
                <w:sz w:val="17"/>
                <w:szCs w:val="17"/>
              </w:rPr>
              <w:t xml:space="preserve">Tableau de bord complet · Revue Direction ICH Q10 · Tendances APR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Trimestrielle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8"/>
                <w:szCs w:val="18"/>
              </w:rPr>
              <w:t xml:space="preserve">Réglementaire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QA + Pers. Qualifiée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4A4A4A"/>
                <w:sz w:val="17"/>
                <w:szCs w:val="17"/>
              </w:rPr>
              <w:t xml:space="preserve">APR/PQR complète avec analyse statistique de tous les CTQ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Annuelle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2E5FA3" w:sz="6"/>
              <w:left w:val="single" w:color="2E5FA3" w:sz="6"/>
              <w:bottom w:val="single" w:color="2E5FA3" w:sz="6"/>
              <w:right w:val="single" w:color="2E5FA3" w:sz="6"/>
            </w:tcBorders>
            <w:shd w:fill="2E5FA3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3 — PROCÉDURE DE SURVEILLANCE KPI (Dashboard Power BI)</w:t>
            </w:r>
          </w:p>
        </w:tc>
      </w:tr>
    </w:tbl>
    <w:p>
      <w:pPr>
        <w:spacing w:before="80" w:after="40"/>
        <w:jc w:val="left"/>
      </w:pPr>
      <w:r>
        <w:rPr>
          <w:rFonts w:ascii="Arial" w:cs="Arial" w:eastAsia="Arial" w:hAnsi="Arial"/>
          <w:b/>
          <w:bCs/>
          <w:color w:val="2E5FA3"/>
          <w:sz w:val="20"/>
          <w:szCs w:val="20"/>
        </w:rPr>
        <w:t xml:space="preserve">3.1  Connexion au Dashboard</w:t>
      </w:r>
    </w:p>
    <w:p>
      <w:pPr>
        <w:spacing w:before="0" w:after="20"/>
        <w:jc w:val="left"/>
      </w:pPr>
      <w:r>
        <w:rPr>
          <w:rFonts w:ascii="Arial" w:cs="Arial" w:eastAsia="Arial" w:hAnsi="Arial"/>
          <w:color w:val="1A1A2E"/>
          <w:sz w:val="19"/>
          <w:szCs w:val="19"/>
        </w:rPr>
        <w:t xml:space="preserve">Accéder au portail Power BI via l'intranet qualité (accès par rôle). Vérifier l'actualisation automatique des données (toutes les heures via connecteurs TrackWise / LIMS).</w:t>
      </w:r>
    </w:p>
    <w:p>
      <w:pPr>
        <w:spacing w:before="0" w:after="30"/>
        <w:jc w:val="left"/>
      </w:pPr>
      <w:r>
        <w:rPr>
          <w:rFonts w:ascii="Arial" w:cs="Arial" w:eastAsia="Arial" w:hAnsi="Arial"/>
          <w:i/>
          <w:iCs/>
          <w:color w:val="4A4A4A"/>
          <w:sz w:val="17"/>
          <w:szCs w:val="17"/>
        </w:rPr>
        <w:t xml:space="preserve">📌  Note : Si données non actualisées : vérifier la connexion aux sources et contacter IT dans les 2 heures.</w:t>
      </w:r>
    </w:p>
    <w:p>
      <w:pPr>
        <w:spacing w:before="50" w:after="0"/>
      </w:pPr>
    </w:p>
    <w:p>
      <w:pPr>
        <w:spacing w:before="80" w:after="40"/>
        <w:jc w:val="left"/>
      </w:pPr>
      <w:r>
        <w:rPr>
          <w:rFonts w:ascii="Arial" w:cs="Arial" w:eastAsia="Arial" w:hAnsi="Arial"/>
          <w:b/>
          <w:bCs/>
          <w:color w:val="2E5FA3"/>
          <w:sz w:val="20"/>
          <w:szCs w:val="20"/>
        </w:rPr>
        <w:t xml:space="preserve">3.2  Analyse des KPI en déviation</w:t>
      </w:r>
    </w:p>
    <w:p>
      <w:pPr>
        <w:spacing w:before="0" w:after="20"/>
        <w:jc w:val="left"/>
      </w:pPr>
      <w:r>
        <w:rPr>
          <w:rFonts w:ascii="Arial" w:cs="Arial" w:eastAsia="Arial" w:hAnsi="Arial"/>
          <w:color w:val="1A1A2E"/>
          <w:sz w:val="19"/>
          <w:szCs w:val="19"/>
        </w:rPr>
        <w:t xml:space="preserve">Identifier les KPI dépassant les seuils (RAG — Rouge = action immédiate / Ambre = surveillance / Vert = conforme). Documenter chaque KPI rouge dans le rapport de revue signé.</w:t>
      </w:r>
    </w:p>
    <w:p>
      <w:pPr>
        <w:spacing w:before="0" w:after="30"/>
        <w:jc w:val="left"/>
      </w:pPr>
      <w:r>
        <w:rPr>
          <w:rFonts w:ascii="Arial" w:cs="Arial" w:eastAsia="Arial" w:hAnsi="Arial"/>
          <w:i/>
          <w:iCs/>
          <w:color w:val="4A4A4A"/>
          <w:sz w:val="17"/>
          <w:szCs w:val="17"/>
        </w:rPr>
        <w:t xml:space="preserve">📌  Note : Rapport de revue archivé dans QMS avec date et initiales du réviseur.</w:t>
      </w:r>
    </w:p>
    <w:p>
      <w:pPr>
        <w:spacing w:before="50" w:after="0"/>
      </w:pPr>
    </w:p>
    <w:p>
      <w:pPr>
        <w:spacing w:before="80" w:after="40"/>
        <w:jc w:val="left"/>
      </w:pPr>
      <w:r>
        <w:rPr>
          <w:rFonts w:ascii="Arial" w:cs="Arial" w:eastAsia="Arial" w:hAnsi="Arial"/>
          <w:b/>
          <w:bCs/>
          <w:color w:val="2E5FA3"/>
          <w:sz w:val="20"/>
          <w:szCs w:val="20"/>
        </w:rPr>
        <w:t xml:space="preserve">3.3  Escalade automatique</w:t>
      </w:r>
    </w:p>
    <w:p>
      <w:pPr>
        <w:spacing w:before="0" w:after="20"/>
        <w:jc w:val="left"/>
      </w:pPr>
      <w:r>
        <w:rPr>
          <w:rFonts w:ascii="Arial" w:cs="Arial" w:eastAsia="Arial" w:hAnsi="Arial"/>
          <w:color w:val="1A1A2E"/>
          <w:sz w:val="19"/>
          <w:szCs w:val="19"/>
        </w:rPr>
        <w:t xml:space="preserve">OOS résolus &lt; 80% (2 mois consécutifs) → Notification QA + Director Q. CAPA critique &gt; 15j retard → Alert email Director QA. Ppk &lt; 1,33 après CAPA → Réouverture dans TrackWise.</w:t>
      </w:r>
    </w:p>
    <w:p>
      <w:pPr>
        <w:spacing w:before="0" w:after="30"/>
        <w:jc w:val="left"/>
      </w:pPr>
      <w:r>
        <w:rPr>
          <w:rFonts w:ascii="Arial" w:cs="Arial" w:eastAsia="Arial" w:hAnsi="Arial"/>
          <w:i/>
          <w:iCs/>
          <w:color w:val="4A4A4A"/>
          <w:sz w:val="17"/>
          <w:szCs w:val="17"/>
        </w:rPr>
        <w:t xml:space="preserve">📌  Note : Les règles d'escalade doivent être testées trimestriellement et documentées.</w:t>
      </w:r>
    </w:p>
    <w:p>
      <w:pPr>
        <w:spacing w:before="50" w:after="0"/>
      </w:pPr>
    </w:p>
    <w:p>
      <w:pPr>
        <w:spacing w:before="6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E8449" w:sz="6"/>
              <w:left w:val="single" w:color="1E8449" w:sz="6"/>
              <w:bottom w:val="single" w:color="1E8449" w:sz="6"/>
              <w:right w:val="single" w:color="1E8449" w:sz="6"/>
            </w:tcBorders>
            <w:shd w:fill="1E8449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4 — PROCÉDURE APR/PQR — ANALYSES STATISTIQUES OBLIGATOIRES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900"/>
        <w:gridCol w:w="3100"/>
        <w:gridCol w:w="266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Étape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Analyse à réaliser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Outil Minitab® (chemin menu)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E844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Critère d'acceptation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Cartes de contrôle I-MR (tous CTQ)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Stat &gt; Control Charts &gt; Variables Charts &gt; I-MR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7"/>
                <w:szCs w:val="17"/>
              </w:rPr>
              <w:t xml:space="preserve">Aucun signal Nelson non investigué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Indices de capabilité Cpk / Ppk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Stat &gt; Quality Tools &gt; Capability Analysis &gt; Normal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7"/>
                <w:szCs w:val="17"/>
              </w:rPr>
              <w:t xml:space="preserve">Cpk / Ppk &gt;= 1,33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3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Test de normalité (Shapiro-Wilk)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Stat &gt; Basic Statistics &gt; Normality Test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7"/>
                <w:szCs w:val="17"/>
              </w:rPr>
              <w:t xml:space="preserve">p-value &gt; 0,05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4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Régression linéaire tendance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Stat &gt; Regression &gt; Fit Regression Model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7"/>
                <w:szCs w:val="17"/>
              </w:rPr>
              <w:t xml:space="preserve">Pente : p-value &gt; 0,05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5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Pareto des causes OOS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Stat &gt; Quality Tools &gt; Pareto Chart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5E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7"/>
                <w:szCs w:val="17"/>
              </w:rPr>
              <w:t xml:space="preserve">80 % en &lt; 20 % catégories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1E8449"/>
                <w:sz w:val="18"/>
                <w:szCs w:val="18"/>
              </w:rPr>
              <w:t xml:space="preserve">6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18"/>
                <w:szCs w:val="18"/>
              </w:rPr>
              <w:t xml:space="preserve">Histogrammes de distribution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Stat &gt; Basic Statistics &gt; Graphical Summary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E8449"/>
                <w:sz w:val="17"/>
                <w:szCs w:val="17"/>
              </w:rPr>
              <w:t xml:space="preserve">Unimodal, centré, normal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4870A" w:sz="6"/>
              <w:left w:val="single" w:color="D4870A" w:sz="6"/>
              <w:bottom w:val="single" w:color="D4870A" w:sz="6"/>
              <w:right w:val="single" w:color="D4870A" w:sz="6"/>
            </w:tcBorders>
            <w:shd w:fill="D4870A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5 — PROCÉDURE RECALCUL LIMITES MSP POST-CAPA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2600"/>
        <w:gridCol w:w="3800"/>
        <w:gridCol w:w="236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Étape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Action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Détail / Chemin Minitab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D4870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Exigence réglementaire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1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8"/>
                <w:szCs w:val="18"/>
              </w:rPr>
              <w:t xml:space="preserve">Collecter données post-CAPA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Minimum 20 points — lots produits après implémentation complète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6"/>
                <w:szCs w:val="16"/>
              </w:rPr>
              <w:t xml:space="preserve">Recommandation industrie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2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8"/>
                <w:szCs w:val="18"/>
              </w:rPr>
              <w:t xml:space="preserve">Vérifier la normalité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Stat &gt; Basic Statistics &gt; Normality Test (Shapiro-Wilk)
p-value &gt; 0,05 requis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6"/>
                <w:szCs w:val="16"/>
              </w:rPr>
              <w:t xml:space="preserve">USP &lt;1010&gt;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3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8"/>
                <w:szCs w:val="18"/>
              </w:rPr>
              <w:t xml:space="preserve">Calculer nouvelles limites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Stat &gt; Control Charts &gt; Variables Charts &gt; I-MR
Décocher 'Use historical parameters'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6"/>
                <w:szCs w:val="16"/>
              </w:rPr>
              <w:t xml:space="preserve">SPC Best Practice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4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8"/>
                <w:szCs w:val="18"/>
              </w:rPr>
              <w:t xml:space="preserve">Documenter UCL / LCL / X̄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4F6F9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Inscrire dans MSP Control Plan révisé
UCL = X̄ + 2,66 × MR̄  |  LCL = X̄ − 2,66 × MR̄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6"/>
                <w:szCs w:val="16"/>
              </w:rPr>
              <w:t xml:space="preserve">21 CFR 211.192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D4870A"/>
                <w:sz w:val="18"/>
                <w:szCs w:val="18"/>
              </w:rPr>
              <w:t xml:space="preserve">5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1A2E"/>
                <w:sz w:val="18"/>
                <w:szCs w:val="18"/>
              </w:rPr>
              <w:t xml:space="preserve">Approbation et archivage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4A4A4A"/>
                <w:sz w:val="17"/>
                <w:szCs w:val="17"/>
              </w:rPr>
              <w:t xml:space="preserve">Approbation QA + Personne Qualifiée
Archiver anciennes limites avec justification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6"/>
                <w:szCs w:val="16"/>
              </w:rPr>
              <w:t xml:space="preserve">ALCOA+ / ICH Q10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CE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18"/>
                <w:szCs w:val="18"/>
              </w:rPr>
              <w:t xml:space="preserve">⛔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CE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C0392B"/>
                <w:sz w:val="18"/>
                <w:szCs w:val="18"/>
              </w:rPr>
              <w:t xml:space="preserve">INTERDIT — Gaming the chart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CE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i/>
                <w:iCs/>
                <w:color w:val="C0392B"/>
                <w:sz w:val="17"/>
                <w:szCs w:val="17"/>
              </w:rPr>
              <w:t xml:space="preserve">Ne JAMAIS étendre les limites pour éviter un signal OOT
→ Violation Data Integrity → FDA 483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DECE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1B3A6B"/>
                <w:sz w:val="16"/>
                <w:szCs w:val="16"/>
              </w:rPr>
              <w:t xml:space="preserve">21 CFR Part 11</w:t>
            </w:r>
          </w:p>
        </w:tc>
      </w:tr>
    </w:tbl>
    <w:p>
      <w:pPr>
        <w:spacing w:before="100" w:after="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B3A6B" w:sz="6"/>
              <w:left w:val="single" w:color="1B3A6B" w:sz="6"/>
              <w:bottom w:val="single" w:color="1B3A6B" w:sz="6"/>
              <w:right w:val="single" w:color="1B3A6B" w:sz="6"/>
            </w:tcBorders>
            <w:shd w:fill="1B3A6B" w:val="clear"/>
            <w:tcMar>
              <w:top w:type="dxa" w:w="100"/>
              <w:left w:type="dxa" w:w="200"/>
              <w:bottom w:type="dxa" w:w="100"/>
              <w:right w:type="dxa" w:w="2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6 — HISTORIQUE DES RÉVISIONS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1600"/>
        <w:gridCol w:w="1800"/>
        <w:gridCol w:w="3400"/>
        <w:gridCol w:w="1760"/>
      </w:tblGrid>
      <w:tr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Rev.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Auteur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Description des modifications</w:t>
            </w:r>
          </w:p>
        </w:tc>
        <w:tc>
          <w:tcPr>
            <w:tcBorders>
              <w:top w:val="single" w:color="1B3A6B" w:sz="1"/>
              <w:left w:val="single" w:color="1B3A6B" w:sz="1"/>
              <w:bottom w:val="single" w:color="1B3A6B" w:sz="1"/>
              <w:right w:val="single" w:color="1B3A6B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Approbation QA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1.0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___/___/____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R. BERKANI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6E4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4A4A4A"/>
                <w:sz w:val="20"/>
                <w:szCs w:val="20"/>
              </w:rPr>
              <w:t xml:space="preserve">Création initiale de la SOP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Sig. : 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2.0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___/___/____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20"/>
                <w:szCs w:val="20"/>
              </w:rPr>
              <w:t xml:space="preserve">__________________________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Sig. : _________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3.0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___/___/____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CCCCCC"/>
                <w:sz w:val="20"/>
                <w:szCs w:val="20"/>
              </w:rPr>
              <w:t xml:space="preserve">__________________________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Arial" w:cs="Arial" w:eastAsia="Arial" w:hAnsi="Arial"/>
                <w:color w:val="1A1A2E"/>
                <w:sz w:val="20"/>
                <w:szCs w:val="20"/>
              </w:rPr>
              <w:t xml:space="preserve">Sig. : _________</w:t>
            </w:r>
          </w:p>
        </w:tc>
      </w:tr>
    </w:tbl>
    <w:p>
      <w:pPr>
        <w:pBdr>
          <w:top w:val="single" w:color="CCCCCC" w:sz="4" w:space="4"/>
        </w:pBdr>
        <w:spacing w:before="60" w:after="0"/>
        <w:jc w:val="center"/>
      </w:pPr>
      <w:r>
        <w:rPr>
          <w:rFonts w:ascii="Arial" w:cs="Arial" w:eastAsia="Arial" w:hAnsi="Arial"/>
          <w:i/>
          <w:iCs/>
          <w:color w:val="4A4A4A"/>
          <w:sz w:val="16"/>
          <w:szCs w:val="16"/>
        </w:rPr>
        <w:t xml:space="preserve">OOS, OOT &amp; CAPA en Industrie Pharmaceutique — Rachid BERKANI — ALCOA+ / ICH Q10</w:t>
      </w:r>
    </w:p>
    <w:sectPr>
      <w:pgSz w:w="12240" w:h="15840" w:orient="portrait"/>
      <w:pgMar w:top="980" w:right="900" w:bottom="98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2026-03-25T09:19:35.841Z</dcterms:created>
  <dcterms:modified xsi:type="dcterms:W3CDTF">2026-03-25T09:19:35.841Z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